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Кол-во часов на 1 полугодие  31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Всего 31час в неделю 2 часа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Плановых контрольных уроков: 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Планирование составлено на основе авторской программы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Новая история  7 – 8 кл.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под редакцией А.Я.Юдовской, Л.М.Ванюшкиной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М.,Просвещение, 2014 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Учебник: А.Я.Юдовская,П.А.Баранов, Л.М.Ванюшкин"Новая история.1800 -1913 гг.8 кл"  М.: Просвещение, 2014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 результате изучения курса новой истории учащиеся 8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начала XX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в.: периодизация Нового времени; особенности ментальности человека Нового времени; преимущество эволюционного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прирожденные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права на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жизнь, свободу и собственность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использование индустриально развитыми странами технического прогресса для создания колониальных империй; международные конфликты, приводившие к войнам; особенности духовной жизни европейцев, их движение к 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Школьники должны научиться общим принципам постановки и решения познавательных проблем, которые включают: методы исторического анализа (изучение исторических источников, гипотезы и доказательства в истории); выявление предпосылок (т.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е. анализ условий, обоснование поступков, выявление причин); анализ целей и результатов; объяснение преимуществ и недостатков; выявление общего и различного; объяснение фактов; сопоставление различных суждений; умение использовать внешкольные источники информации (находящиеся за пределами учебной книги, существующие в реальной социокультурной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разные способы работы (в том числе и самостоятельной) с учебной книгой.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 процессе изучения новой истории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Изучение курса стимулирует процесс гуманизации личности подростка, формирование качеств, которые общество хотело бы видеть у выпускника основной школы и которые помогли бы ему жить в мире с собой и другими: руководствоваться нравственным отношением к собственной жизни и жизни других людей, анализировать конкретные ситуации, уметь видеть и решать проблемы, поставленные перед ним жизнью, уметь выбирать линию поведения, исходя из представления о возможных последствиях.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Они должны дать понятие о таких явлениях, как:</w:t>
      </w:r>
    </w:p>
    <w:tbl>
      <w:tblPr/>
      <w:tblGrid>
        <w:gridCol w:w="589"/>
        <w:gridCol w:w="10185"/>
      </w:tblGrid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-30" w:firstLine="3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уровень развития индустриального и традиционного обществ (условия гармоничного развития общества, его менталитет, ценности индустриального и традиционного обществ, общечеловеческие ценности на материале стран Европы, Америки, Азии и Африки);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прогресс и насилие в обществе, соотношение целей и средств в их достижении, роль террора в историческом развитии;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личность в истории, соотношение объективного и субъективного факторов в историческом процессе;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принцип неравномерного развития стран в эпоху индустриальной революции;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404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модернизация как ответ на вызов времени, неоднозначные последствия модернизации и индустриальной революции для человека (экологические проблемы, грозящие существованию человечества, зависимость человека от источников энергии и</w:t>
            </w: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д.);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роль революций и реформ в развитии общества, движение общества к реформам, необходимость разумного компромисса в политической жизни;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демократизация общественного и государственного устройства;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формирование правового государства и гражданского общества (на примере истории стран Европы и США);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прогресс и насилие в обществе, соотношение целей и средств в их достижении;</w:t>
            </w:r>
          </w:p>
        </w:tc>
      </w:tr>
      <w:tr>
        <w:trPr>
          <w:trHeight w:val="1" w:hRule="atLeast"/>
          <w:jc w:val="left"/>
        </w:trPr>
        <w:tc>
          <w:tcPr>
            <w:tcW w:w="58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—</w:t>
            </w:r>
          </w:p>
        </w:tc>
        <w:tc>
          <w:tcPr>
            <w:tcW w:w="1018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04040"/>
                <w:spacing w:val="0"/>
                <w:position w:val="0"/>
                <w:sz w:val="28"/>
                <w:shd w:fill="auto" w:val="clear"/>
              </w:rPr>
              <w:t xml:space="preserve">человек в истории, его ответственность за выбор решений, соотношение субъективного и объективного факторов в историческом процессе.</w:t>
            </w:r>
          </w:p>
        </w:tc>
      </w:tr>
    </w:tbl>
    <w:p>
      <w:pPr>
        <w:spacing w:before="0" w:after="0" w:line="276"/>
        <w:ind w:right="688" w:left="10" w:hanging="1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Календарно – тематическое планирование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по истории России   для   8 класса</w:t>
      </w: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2832" w:firstLine="708"/>
        <w:jc w:val="left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Кол-во часов на год 37 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Всего в неделю 2 часа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Плановых контрольных уроков: 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Планирование составлено на основе авторской программы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Истории России 6- 9кл.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А.А.Данилова и Л.Г.Косулиной. – М.: Просвещение ,2013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Учебник: А.А.Данилов, Л.Г.Косулина  История России XI X век -М.: Просвещение ,2014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aps w:val="true"/>
          <w:color w:val="40404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aps w:val="true"/>
          <w:color w:val="404040"/>
          <w:spacing w:val="0"/>
          <w:position w:val="0"/>
          <w:sz w:val="22"/>
          <w:shd w:fill="auto" w:val="clear"/>
        </w:rPr>
        <w:t xml:space="preserve">ЦЕЛИ КУРСА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Дать представления об основных этапах и содержании истории России XIX века. 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Показать на примерах из различных эпох органическую взаимосвязь российской и мировой истории. В этом контексте проанализировать общее и особенное российской истории, что позволит определить место российской цивилизации во всемирно-историческом процессе.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Показать – по каким проблемам отечественной истории ведутся сегодня споры и дискуссии в российской и зарубежной историографии.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Показать место истории в обществе; формирование и эволюцию исторических понятий и категорий.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Обратить внимание на тенденции развития мировой историографии и место и роль российской истории и историографии в мировой науке.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Проанализировать те изменения в исторических представлениях, которые произошли в России в последнее десятилетие.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Школьники должны научиться общим принципам постановки и решения познавательных проблем, которые включают: методы исторического анализа (изучение исторических источников, гипотезы и доказательства в истории); выявление предпосылок (т.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е. анализ условий, обоснование поступков, выявление причин); анализ целей и результатов; объяснение преимуществ и недостатков; выявление общего и различного; объяснение фактов; сопоставление различных суждений; умение использовать внешкольные источники информации (находящиеся за пределами учебной книги, существующие в реальной социокультурной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разные способы работы (в том числе и самостоятельной) с учебной книгой.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8"/>
          <w:shd w:fill="auto" w:val="clear"/>
        </w:rPr>
        <w:t xml:space="preserve">В процессе изучения новой истории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